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360" w:lineRule="auto"/>
        <w:rPr>
          <w:rFonts w:hint="eastAsia" w:ascii="方正小标宋简体" w:hAnsi="方正小标宋简体" w:eastAsia="方正小标宋简体" w:cs="方正小标宋简体"/>
          <w:sz w:val="36"/>
          <w:szCs w:val="36"/>
        </w:rPr>
      </w:pP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评分表</w:t>
      </w:r>
      <w:bookmarkStart w:id="4" w:name="_GoBack"/>
      <w:bookmarkEnd w:id="4"/>
    </w:p>
    <w:tbl>
      <w:tblPr>
        <w:tblStyle w:val="3"/>
        <w:tblpPr w:leftFromText="180" w:rightFromText="180" w:vertAnchor="text" w:horzAnchor="page" w:tblpXSpec="center" w:tblpY="630"/>
        <w:tblOverlap w:val="never"/>
        <w:tblW w:w="9639" w:type="dxa"/>
        <w:jc w:val="center"/>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828"/>
        <w:gridCol w:w="142"/>
        <w:gridCol w:w="1725"/>
        <w:gridCol w:w="6944"/>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676" w:hRule="atLeast"/>
          <w:jc w:val="center"/>
        </w:trPr>
        <w:tc>
          <w:tcPr>
            <w:tcW w:w="970" w:type="dxa"/>
            <w:gridSpan w:val="2"/>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F1</w:t>
            </w:r>
          </w:p>
        </w:tc>
        <w:tc>
          <w:tcPr>
            <w:tcW w:w="8669" w:type="dxa"/>
            <w:gridSpan w:val="2"/>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投标报价（10分）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1227" w:hRule="atLeast"/>
          <w:jc w:val="center"/>
        </w:trPr>
        <w:tc>
          <w:tcPr>
            <w:tcW w:w="9639" w:type="dxa"/>
            <w:gridSpan w:val="4"/>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评审合格的投标人投标报价算术平均值作为评审基准价。</w:t>
            </w:r>
          </w:p>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投标报价得分＝（评标基准价／投标报价）×价格分权值×100</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注：(1)低于项目预算价格50%的报价为无效报价，不作为评标基准价 </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(2)投标报价得分取两位小数，第三位四舍五入。</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785" w:hRule="atLeast"/>
          <w:jc w:val="center"/>
        </w:trPr>
        <w:tc>
          <w:tcPr>
            <w:tcW w:w="82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F2</w:t>
            </w:r>
          </w:p>
        </w:tc>
        <w:tc>
          <w:tcPr>
            <w:tcW w:w="8811" w:type="dxa"/>
            <w:gridSpan w:val="3"/>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技术分（</w:t>
            </w:r>
            <w:r>
              <w:rPr>
                <w:rFonts w:ascii="黑体" w:hAnsi="黑体" w:eastAsia="黑体" w:cs="黑体"/>
                <w:sz w:val="28"/>
                <w:szCs w:val="28"/>
              </w:rPr>
              <w:t>4</w:t>
            </w:r>
            <w:r>
              <w:rPr>
                <w:rFonts w:hint="eastAsia" w:ascii="黑体" w:hAnsi="黑体" w:eastAsia="黑体" w:cs="黑体"/>
                <w:sz w:val="28"/>
                <w:szCs w:val="28"/>
              </w:rPr>
              <w:t>0分）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635" w:hRule="atLeast"/>
          <w:jc w:val="center"/>
        </w:trPr>
        <w:tc>
          <w:tcPr>
            <w:tcW w:w="828"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67" w:type="dxa"/>
            <w:gridSpan w:val="2"/>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评审内容</w:t>
            </w:r>
          </w:p>
        </w:tc>
        <w:tc>
          <w:tcPr>
            <w:tcW w:w="6944"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评分标准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3290" w:hRule="atLeast"/>
          <w:jc w:val="center"/>
        </w:trPr>
        <w:tc>
          <w:tcPr>
            <w:tcW w:w="828"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67" w:type="dxa"/>
            <w:gridSpan w:val="2"/>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整体安全服务方案评定</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（满分15分）</w:t>
            </w:r>
          </w:p>
        </w:tc>
        <w:tc>
          <w:tcPr>
            <w:tcW w:w="6944" w:type="dxa"/>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各投标人项目实施方案中所包含的等保测评服务内容等服务流程步骤、使用方法、使用工具、保密措施、项目管理制度、风险防范措施、服务方式、售后服务等内容进行比较，根据内容的详细丰富程度、管理制度的规范性、科学性和先进性，以及保密措施、风险防范措施的有效性和可操作性进行评比打分：</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综合评定为优的，得13-15分；</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综合评定为良的，得9-12分；</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综合评定为中的，得5-8分；</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综合评定为差的，得0-4分。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664" w:hRule="atLeast"/>
          <w:jc w:val="center"/>
        </w:trPr>
        <w:tc>
          <w:tcPr>
            <w:tcW w:w="828" w:type="dxa"/>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67" w:type="dxa"/>
            <w:gridSpan w:val="2"/>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安全工具要求（15分）</w:t>
            </w:r>
          </w:p>
        </w:tc>
        <w:tc>
          <w:tcPr>
            <w:tcW w:w="6944" w:type="dxa"/>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投标人在等保测评服务过程使用的安全工具应至少满足以下要求：</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1、投标人服务期间所选用的安全工具中包含有网站漏洞检查工具</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2、投标人服务期间所选用的安全工具中包含有网络检查工具</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3、投标人服务期间所选用的安全工具中包含有数据库弱点检查、数据库检查工具</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4、投标人服务期间所选用的安全工具中包含有系统检查、配置检查工具</w:t>
            </w:r>
          </w:p>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5、投标人服务期间所选用的安全工具中包含恶意代码检查工具。</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每项3分；满分15分（以上工具可以是自主开发、采购第三方工具，自主开发需要提供软件著作等证明材料，第三方工具需要提供采购合同）</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1855" w:hRule="atLeast"/>
          <w:jc w:val="center"/>
        </w:trPr>
        <w:tc>
          <w:tcPr>
            <w:tcW w:w="828"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67" w:type="dxa"/>
            <w:gridSpan w:val="2"/>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自主研发安全测评、扫描软件</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（满分</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c>
          <w:tcPr>
            <w:tcW w:w="6944" w:type="dxa"/>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1、投标人自主研发具备自主知识产权的信息安全等级保护测评软件系统</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2、投标人自主研发具备自主知识产权的web应用源代码扫描软件系统</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提供国家版权局出具的有效软件著作权的复印件加盖投标人公章，每满足一项得5分，总分10分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cantSplit/>
          <w:trHeight w:val="586" w:hRule="atLeast"/>
          <w:jc w:val="center"/>
        </w:trPr>
        <w:tc>
          <w:tcPr>
            <w:tcW w:w="82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F3</w:t>
            </w:r>
          </w:p>
        </w:tc>
        <w:tc>
          <w:tcPr>
            <w:tcW w:w="8811" w:type="dxa"/>
            <w:gridSpan w:val="3"/>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商务分（</w:t>
            </w:r>
            <w:r>
              <w:rPr>
                <w:rFonts w:ascii="黑体" w:hAnsi="黑体" w:eastAsia="黑体" w:cs="黑体"/>
                <w:sz w:val="28"/>
                <w:szCs w:val="28"/>
              </w:rPr>
              <w:t>5</w:t>
            </w:r>
            <w:r>
              <w:rPr>
                <w:rFonts w:hint="eastAsia" w:ascii="黑体" w:hAnsi="黑体" w:eastAsia="黑体" w:cs="黑体"/>
                <w:sz w:val="28"/>
                <w:szCs w:val="28"/>
              </w:rPr>
              <w:t>0分）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cantSplit/>
          <w:trHeight w:val="3886" w:hRule="atLeast"/>
          <w:jc w:val="center"/>
        </w:trPr>
        <w:tc>
          <w:tcPr>
            <w:tcW w:w="828"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67" w:type="dxa"/>
            <w:gridSpan w:val="2"/>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资质及能力（满分2</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c>
          <w:tcPr>
            <w:tcW w:w="6944" w:type="dxa"/>
            <w:noWrap w:val="0"/>
            <w:vAlign w:val="center"/>
          </w:tcPr>
          <w:p>
            <w:pPr>
              <w:spacing w:line="360" w:lineRule="exact"/>
              <w:rPr>
                <w:rFonts w:hint="eastAsia" w:ascii="仿宋_GB2312" w:hAnsi="仿宋_GB2312" w:eastAsia="仿宋_GB2312" w:cs="仿宋_GB2312"/>
                <w:sz w:val="28"/>
                <w:szCs w:val="28"/>
              </w:rPr>
            </w:pPr>
            <w:bookmarkStart w:id="0" w:name="_Toc485891837"/>
            <w:bookmarkStart w:id="1" w:name="_Toc482173715"/>
            <w:bookmarkStart w:id="2" w:name="_Toc468392343"/>
            <w:bookmarkStart w:id="3" w:name="_Toc485854847"/>
            <w:r>
              <w:rPr>
                <w:rFonts w:hint="eastAsia" w:ascii="仿宋_GB2312" w:hAnsi="仿宋_GB2312" w:eastAsia="仿宋_GB2312" w:cs="仿宋_GB2312"/>
                <w:sz w:val="28"/>
                <w:szCs w:val="28"/>
              </w:rPr>
              <w:t>1、中国合格评定国家认可委员会颁发的检验机构认可证书CNAS</w:t>
            </w:r>
            <w:bookmarkEnd w:id="0"/>
            <w:bookmarkEnd w:id="1"/>
            <w:bookmarkEnd w:id="2"/>
            <w:bookmarkEnd w:id="3"/>
            <w:r>
              <w:rPr>
                <w:rFonts w:hint="eastAsia" w:ascii="仿宋_GB2312" w:hAnsi="仿宋_GB2312" w:eastAsia="仿宋_GB2312" w:cs="仿宋_GB2312"/>
                <w:sz w:val="28"/>
                <w:szCs w:val="28"/>
              </w:rPr>
              <w:t>，得</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质量管理体系认证证书（ISO9001），得4分；</w:t>
            </w:r>
          </w:p>
          <w:p>
            <w:pPr>
              <w:spacing w:line="3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中国网络安全审查技术与认证中心信息安全风险评估服务资质认证证书，得4分；</w:t>
            </w:r>
          </w:p>
          <w:p>
            <w:pPr>
              <w:spacing w:line="3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近</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年（201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-201</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年度）被国家网络安全等级保护管理机关授予过安全等级保护测评相关荣誉证书，得4分；</w:t>
            </w:r>
          </w:p>
          <w:p>
            <w:pPr>
              <w:spacing w:line="360" w:lineRule="exac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国家信息安全漏洞共享平台（CNVD）技术组成员单位证书得4分。</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省级以上（含省级）网络空间安全协会颁发的计算机信息系统安全服务等级证，得</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cantSplit/>
          <w:trHeight w:val="1855" w:hRule="atLeast"/>
          <w:jc w:val="center"/>
        </w:trPr>
        <w:tc>
          <w:tcPr>
            <w:tcW w:w="828"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67" w:type="dxa"/>
            <w:gridSpan w:val="2"/>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人员具备资质及能力</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（满分10分）</w:t>
            </w:r>
          </w:p>
        </w:tc>
        <w:tc>
          <w:tcPr>
            <w:tcW w:w="6944" w:type="dxa"/>
            <w:noWrap w:val="0"/>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提供测评机构201</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年度网络安全等级测评师名单（提供测评师资格证书复印件及中国网络安全等级保护网查询截图证明）；</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1、高级测评师：具备</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 xml:space="preserve">个高级测评师的，得1分，每增加1个加2分，本项最高分4分 </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2、中级测评师：具备5个中级测评师的，得1分，每增加1个加1分，本项最高分4分 </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3、初级测评师：具备10个初级测评师的，得1分，每增加1个加0.5分，本项最高分2分</w:t>
            </w:r>
          </w:p>
          <w:p>
            <w:pPr>
              <w:spacing w:line="360" w:lineRule="exact"/>
              <w:rPr>
                <w:rFonts w:hint="eastAsia" w:ascii="仿宋_GB2312" w:hAnsi="仿宋_GB2312" w:eastAsia="仿宋_GB2312" w:cs="仿宋_GB2312"/>
                <w:sz w:val="28"/>
                <w:szCs w:val="28"/>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cantSplit/>
          <w:trHeight w:val="1515" w:hRule="atLeast"/>
          <w:jc w:val="center"/>
        </w:trPr>
        <w:tc>
          <w:tcPr>
            <w:tcW w:w="828" w:type="dxa"/>
            <w:noWrap w:val="0"/>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67" w:type="dxa"/>
            <w:gridSpan w:val="2"/>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相关案例</w:t>
            </w: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（满分1</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c>
          <w:tcPr>
            <w:tcW w:w="6944" w:type="dxa"/>
            <w:noWrap w:val="0"/>
            <w:vAlign w:val="top"/>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提供201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年以来合同金额不少于人民币15万元的信息安全等级保护测评服务案例。一个合同得</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分。以合同关键页（包括双方盖章、合同金额、签约时间、采购内容）复印件为准，不重复计分。</w:t>
            </w:r>
          </w:p>
        </w:tc>
      </w:tr>
    </w:tbl>
    <w:p>
      <w:pPr>
        <w:spacing w:line="360" w:lineRule="exact"/>
        <w:rPr>
          <w:rFonts w:hint="eastAsia" w:ascii="仿宋_GB2312" w:hAnsi="仿宋_GB2312" w:eastAsia="仿宋_GB2312" w:cs="仿宋_GB2312"/>
          <w:sz w:val="28"/>
          <w:szCs w:val="28"/>
        </w:rPr>
      </w:pPr>
    </w:p>
    <w:p/>
    <w:sectPr>
      <w:footerReference r:id="rId3" w:type="default"/>
      <w:footerReference r:id="rId4" w:type="even"/>
      <w:pgSz w:w="11906" w:h="16838"/>
      <w:pgMar w:top="1191"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17D24"/>
    <w:rsid w:val="11617D24"/>
    <w:rsid w:val="63F4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2020-01-03T02:30:00Z</dcterms:created>
  <dc:creator>沙土1403834478</dc:creator>
  <cp:lastModifiedBy>沙土1403834478</cp:lastModifiedBy>
  <dcterms:modified xsi:type="dcterms:W3CDTF">2020-01-03T02:31:08Z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